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8C3D" w14:textId="6DE236A2" w:rsidR="005433DF" w:rsidRDefault="005433DF" w:rsidP="005433DF">
      <w:pPr>
        <w:ind w:left="-993" w:firstLine="993"/>
        <w:rPr>
          <w:rFonts w:ascii="AvenirNext LT Pro Cn" w:hAnsi="AvenirNext LT Pro Cn" w:cs="Arial"/>
        </w:rPr>
      </w:pPr>
      <w:r>
        <w:rPr>
          <w:rFonts w:ascii="AvenirNext LT Pro Cn" w:hAnsi="AvenirNext LT Pro Cn"/>
          <w:noProof/>
          <w:lang w:eastAsia="fr-FR"/>
        </w:rPr>
        <w:drawing>
          <wp:inline distT="0" distB="0" distL="0" distR="0" wp14:anchorId="5ADA52A6" wp14:editId="4DDB3738">
            <wp:extent cx="116205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C325" w14:textId="77777777" w:rsidR="005433DF" w:rsidRDefault="005433DF" w:rsidP="005433DF">
      <w:pPr>
        <w:ind w:left="-993" w:firstLine="993"/>
        <w:rPr>
          <w:rFonts w:ascii="AvenirNext LT Pro Cn" w:hAnsi="AvenirNext LT Pro Cn" w:cs="Arial"/>
        </w:rPr>
      </w:pPr>
    </w:p>
    <w:p w14:paraId="0D844B1F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Centre INRAE Occitanie-Toulouse</w:t>
      </w:r>
    </w:p>
    <w:p w14:paraId="27428E39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Etablissement Public à caractère scientifique et technologique (EPST)</w:t>
      </w:r>
    </w:p>
    <w:p w14:paraId="3F56EFC2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Services Déconcentrés d’Appui à la Recherche (SDAR)</w:t>
      </w:r>
    </w:p>
    <w:p w14:paraId="0538B128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 Logistique</w:t>
      </w:r>
    </w:p>
    <w:p w14:paraId="6AF1108A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 xml:space="preserve">24, chemin de Borde Rouge -CS 52627 </w:t>
      </w:r>
    </w:p>
    <w:p w14:paraId="3D146323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31326 CASTANET TOLOSAN CEDEX – France</w:t>
      </w:r>
    </w:p>
    <w:p w14:paraId="522C09DC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E83161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C92AA09" w14:textId="4C3E7EE8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149777AE" w14:textId="11D7092F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018801AE" w14:textId="77777777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28619262" w14:textId="6631AF4C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Mémoire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t xml:space="preserve">technique </w:t>
      </w: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justificatif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br/>
      </w:r>
      <w:r>
        <w:rPr>
          <w:rFonts w:ascii="Raleway ExtraBold" w:hAnsi="Raleway ExtraBold" w:cs="Arial"/>
          <w:b/>
          <w:color w:val="008C8E"/>
          <w:sz w:val="52"/>
          <w:szCs w:val="52"/>
        </w:rPr>
        <w:t>de l’offre</w:t>
      </w:r>
    </w:p>
    <w:p w14:paraId="286CBD16" w14:textId="6E9EB4FA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5991DFAB" w14:textId="77777777" w:rsidR="005433DF" w:rsidRP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23608857" w14:textId="3E8981AE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 xml:space="preserve">Consultation n° </w:t>
      </w:r>
      <w:r w:rsidR="00821B1B" w:rsidRPr="00821B1B">
        <w:rPr>
          <w:rFonts w:ascii="Arial" w:eastAsia="Arial" w:hAnsi="Arial" w:cs="Arial"/>
          <w:b/>
          <w:color w:val="000000"/>
          <w:sz w:val="36"/>
          <w:szCs w:val="36"/>
        </w:rPr>
        <w:t>2026C15N00000</w:t>
      </w:r>
      <w:r w:rsidR="00821B1B">
        <w:rPr>
          <w:rFonts w:ascii="Arial" w:eastAsia="Arial" w:hAnsi="Arial" w:cs="Arial"/>
          <w:b/>
          <w:color w:val="000000"/>
          <w:sz w:val="36"/>
          <w:szCs w:val="36"/>
        </w:rPr>
        <w:t>1</w:t>
      </w:r>
      <w:r w:rsidR="00EE5CEE">
        <w:rPr>
          <w:rFonts w:ascii="Arial" w:eastAsia="Arial" w:hAnsi="Arial" w:cs="Arial"/>
          <w:b/>
          <w:color w:val="000000"/>
          <w:sz w:val="36"/>
          <w:szCs w:val="36"/>
        </w:rPr>
        <w:t>-1</w:t>
      </w:r>
    </w:p>
    <w:p w14:paraId="495B2F45" w14:textId="77777777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>Formations en langues</w:t>
      </w:r>
    </w:p>
    <w:p w14:paraId="4A3156B6" w14:textId="2765A189" w:rsid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00F2D685" w14:textId="77777777" w:rsidR="00502226" w:rsidRPr="00502226" w:rsidRDefault="00502226" w:rsidP="00502226">
      <w:pPr>
        <w:spacing w:line="322" w:lineRule="exac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33C37FC7" w14:textId="61D86C7E" w:rsidR="005433DF" w:rsidRPr="00502226" w:rsidRDefault="00502226" w:rsidP="00502226">
      <w:pPr>
        <w:rPr>
          <w:rFonts w:ascii="AvenirNext LT Pro Cn" w:hAnsi="AvenirNext LT Pro Cn" w:cs="Arial"/>
          <w:b/>
          <w:sz w:val="36"/>
          <w:szCs w:val="36"/>
        </w:rPr>
      </w:pPr>
      <w:r w:rsidRPr="00502226">
        <w:rPr>
          <w:rFonts w:ascii="Arial" w:eastAsia="Arial" w:hAnsi="Arial" w:cs="Arial"/>
          <w:b/>
          <w:color w:val="000000"/>
          <w:sz w:val="36"/>
          <w:szCs w:val="36"/>
        </w:rPr>
        <w:t>LOT 1 : FORMATIONS INDIVIDUELLES EN LANGUES</w:t>
      </w:r>
    </w:p>
    <w:p w14:paraId="6E09CDEE" w14:textId="77777777" w:rsidR="005433DF" w:rsidRPr="00502226" w:rsidRDefault="005433DF" w:rsidP="005433DF">
      <w:pPr>
        <w:rPr>
          <w:rFonts w:ascii="AvenirNext LT Pro Cn" w:hAnsi="AvenirNext LT Pro Cn" w:cs="Arial"/>
          <w:b/>
          <w:sz w:val="36"/>
          <w:szCs w:val="36"/>
        </w:rPr>
      </w:pPr>
    </w:p>
    <w:p w14:paraId="092E1F19" w14:textId="77777777" w:rsidR="005433DF" w:rsidRPr="00502226" w:rsidRDefault="005433DF" w:rsidP="005433DF">
      <w:pPr>
        <w:rPr>
          <w:rFonts w:ascii="AvenirNext LT Pro Cn" w:hAnsi="AvenirNext LT Pro Cn" w:cs="Arial"/>
          <w:b/>
          <w:sz w:val="36"/>
          <w:szCs w:val="36"/>
        </w:rPr>
      </w:pPr>
    </w:p>
    <w:p w14:paraId="496BAA78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27793C3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06C7556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BDE2162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3B38ED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A7B6BB4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BDFA8A3" w14:textId="77777777" w:rsidR="005433DF" w:rsidRDefault="005433DF" w:rsidP="005433DF">
      <w:pPr>
        <w:jc w:val="center"/>
        <w:rPr>
          <w:rFonts w:ascii="AvenirNext LT Pro Cn" w:hAnsi="AvenirNext LT Pro Cn" w:cs="Arial"/>
          <w:b/>
          <w:sz w:val="24"/>
          <w:szCs w:val="24"/>
          <w:u w:val="single"/>
        </w:rPr>
      </w:pPr>
      <w:r>
        <w:rPr>
          <w:rFonts w:ascii="AvenirNext LT Pro Cn" w:hAnsi="AvenirNext LT Pro Cn" w:cs="Arial"/>
          <w:b/>
          <w:sz w:val="24"/>
          <w:szCs w:val="24"/>
          <w:u w:val="single"/>
        </w:rPr>
        <w:t>Pouvoir adjudicateur :</w:t>
      </w:r>
    </w:p>
    <w:p w14:paraId="4E5563A9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Centre INRAE Occitanie – Toulouse</w:t>
      </w:r>
    </w:p>
    <w:p w14:paraId="3CDD1A58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 xml:space="preserve">Unité SDAR </w:t>
      </w:r>
    </w:p>
    <w:p w14:paraId="0948748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24, Chemin de Borde Rouge</w:t>
      </w:r>
    </w:p>
    <w:p w14:paraId="3BABB26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CS 52627</w:t>
      </w:r>
    </w:p>
    <w:p w14:paraId="44E87602" w14:textId="29C2F9FE" w:rsidR="002A6EF0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31326 Castanet-Tolosan Cedex</w:t>
      </w:r>
    </w:p>
    <w:p w14:paraId="37FD3C92" w14:textId="77777777" w:rsidR="002A6EF0" w:rsidRDefault="002A6EF0">
      <w:pPr>
        <w:spacing w:after="160" w:line="259" w:lineRule="auto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br w:type="page"/>
      </w:r>
    </w:p>
    <w:p w14:paraId="5BAA27BA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</w:p>
    <w:p w14:paraId="4016B18E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>Le présent cadre de mémoire technique a pour objet de collecter les éléments essentiels de l’offre technique du soumissionnaire. Ce cadre de réponse doit être complété par l’entreprise candidate.</w:t>
      </w:r>
    </w:p>
    <w:p w14:paraId="41A66357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</w:p>
    <w:p w14:paraId="273DC76A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>Le soumissionnaire doit indiquer, par thème, les dispositions qu'il compte adopter en complément des conditions figurant au Cahier des Clauses Techniques Particulières (CCTP).</w:t>
      </w:r>
    </w:p>
    <w:p w14:paraId="0817F9F0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</w:p>
    <w:p w14:paraId="1ADC2A28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>Les renseignements indiqués dans le cadre de mémoire technique doivent être liés directement à l’objet de l’accord-cadre, et ne doivent pas être une simple énumération de l’organisation des moyens généraux de l’entreprise.</w:t>
      </w:r>
    </w:p>
    <w:p w14:paraId="0B49FC54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</w:p>
    <w:p w14:paraId="3061D40B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>L’attention du soumissionnaire est attirée sur le fait que le cadre de mémoire technique est une des pièces particulières constitutives de l’accord-cadre et que tous les engagements et affirmations qui y sont consignés sont contractuels et deviennent exécutoires. Le soumissionnaire répond à toutes les questions posées en explicitant et détaillant chacune de ses réponses.</w:t>
      </w:r>
    </w:p>
    <w:p w14:paraId="3410864F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</w:p>
    <w:p w14:paraId="78FD5625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 xml:space="preserve">Les différents éléments demandés sont à renseigner sur le présent document en le complétant par des documents annexes quand ils sont exigés. </w:t>
      </w:r>
    </w:p>
    <w:p w14:paraId="29DEB44A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</w:p>
    <w:p w14:paraId="5FB7559F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 xml:space="preserve">Les informations fournies par les soumissionnaires en dehors de ce cadre ne seront pas examinées à l’exception des annexes demandées. </w:t>
      </w:r>
    </w:p>
    <w:p w14:paraId="175C8D54" w14:textId="77777777" w:rsidR="002A6EF0" w:rsidRPr="002A6EF0" w:rsidRDefault="002A6EF0" w:rsidP="002A6EF0">
      <w:pPr>
        <w:rPr>
          <w:rFonts w:ascii="AvenirNext LT Pro Cn" w:hAnsi="AvenirNext LT Pro Cn" w:cs="Arial"/>
          <w:sz w:val="24"/>
          <w:szCs w:val="24"/>
        </w:rPr>
      </w:pPr>
    </w:p>
    <w:p w14:paraId="2503FAFA" w14:textId="54A69DD1" w:rsidR="005433DF" w:rsidRDefault="002A6EF0" w:rsidP="002A6EF0">
      <w:pPr>
        <w:rPr>
          <w:rFonts w:ascii="AvenirNext LT Pro Cn" w:hAnsi="AvenirNext LT Pro Cn" w:cs="Arial"/>
          <w:sz w:val="24"/>
          <w:szCs w:val="24"/>
        </w:rPr>
      </w:pPr>
      <w:r w:rsidRPr="002A6EF0">
        <w:rPr>
          <w:rFonts w:ascii="AvenirNext LT Pro Cn" w:hAnsi="AvenirNext LT Pro Cn" w:cs="Arial"/>
          <w:sz w:val="24"/>
          <w:szCs w:val="24"/>
        </w:rPr>
        <w:t>L’absence de réponse du soumissionnaire à une question entraine l’irrégularité de son offre.</w:t>
      </w:r>
    </w:p>
    <w:p w14:paraId="24C010E7" w14:textId="77777777" w:rsidR="005433DF" w:rsidRDefault="005433DF" w:rsidP="005433DF">
      <w:pPr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br w:type="page"/>
      </w:r>
    </w:p>
    <w:p w14:paraId="3F498F41" w14:textId="064B6DBC" w:rsidR="00502226" w:rsidRDefault="00502226" w:rsidP="00502226">
      <w:pPr>
        <w:pStyle w:val="Paragraphedeliste"/>
        <w:numPr>
          <w:ilvl w:val="0"/>
          <w:numId w:val="6"/>
        </w:numPr>
      </w:pPr>
      <w:r>
        <w:lastRenderedPageBreak/>
        <w:t>Qualité pédagogique des programmes</w:t>
      </w:r>
      <w:r w:rsidR="006153FE">
        <w:t xml:space="preserve"> et des supports de formation</w:t>
      </w:r>
      <w:r w:rsidR="00B108D2">
        <w:t> </w:t>
      </w:r>
      <w:bookmarkStart w:id="0" w:name="_Hlk202177426"/>
      <w:r w:rsidR="00B108D2">
        <w:t>: fournir des exemples / extraits</w:t>
      </w:r>
    </w:p>
    <w:bookmarkEnd w:id="0"/>
    <w:p w14:paraId="46D360F7" w14:textId="77777777" w:rsidR="00502226" w:rsidRDefault="00502226" w:rsidP="00502226">
      <w:pPr>
        <w:pStyle w:val="Paragraphedeliste"/>
      </w:pPr>
    </w:p>
    <w:p w14:paraId="722A2A68" w14:textId="08A85974" w:rsidR="00502226" w:rsidRDefault="00502226" w:rsidP="00502226">
      <w:pPr>
        <w:pStyle w:val="Paragraphedeliste"/>
        <w:numPr>
          <w:ilvl w:val="0"/>
          <w:numId w:val="6"/>
        </w:numPr>
      </w:pPr>
      <w:r>
        <w:t xml:space="preserve">Moyens humains : </w:t>
      </w:r>
    </w:p>
    <w:p w14:paraId="67979224" w14:textId="77777777" w:rsidR="00502226" w:rsidRDefault="00502226" w:rsidP="00502226">
      <w:pPr>
        <w:pStyle w:val="Paragraphedeliste"/>
      </w:pPr>
    </w:p>
    <w:p w14:paraId="3D7C60BA" w14:textId="77777777" w:rsidR="00502226" w:rsidRDefault="00502226" w:rsidP="00502226">
      <w:pPr>
        <w:pStyle w:val="Paragraphedeliste"/>
      </w:pPr>
    </w:p>
    <w:p w14:paraId="2B187068" w14:textId="2223F9E7" w:rsidR="00502226" w:rsidRDefault="00502226" w:rsidP="00B108D2">
      <w:pPr>
        <w:pStyle w:val="Paragraphedeliste"/>
        <w:numPr>
          <w:ilvl w:val="0"/>
          <w:numId w:val="8"/>
        </w:numPr>
        <w:ind w:left="1068"/>
      </w:pPr>
      <w:r>
        <w:t xml:space="preserve">Indiquer les qualifications et expériences des intervenants dédiés aux prestations </w:t>
      </w:r>
    </w:p>
    <w:p w14:paraId="1915DF03" w14:textId="771935DA" w:rsidR="00502226" w:rsidRDefault="00502226" w:rsidP="00B108D2">
      <w:pPr>
        <w:ind w:left="348"/>
      </w:pPr>
    </w:p>
    <w:p w14:paraId="1D33DC24" w14:textId="77777777" w:rsidR="00502226" w:rsidRDefault="00502226" w:rsidP="00B108D2">
      <w:pPr>
        <w:ind w:left="348"/>
      </w:pPr>
    </w:p>
    <w:p w14:paraId="2C18C58F" w14:textId="3868780B" w:rsidR="00502226" w:rsidRDefault="00502226" w:rsidP="00B108D2">
      <w:pPr>
        <w:pStyle w:val="Paragraphedeliste"/>
        <w:numPr>
          <w:ilvl w:val="0"/>
          <w:numId w:val="8"/>
        </w:numPr>
        <w:ind w:left="1068"/>
      </w:pPr>
      <w:r>
        <w:t>Indiquer la répartition prévisionnelle des formateurs mobilisés pour l’exécution du marché, selon les critères suivants :</w:t>
      </w:r>
    </w:p>
    <w:p w14:paraId="4D5FCBE6" w14:textId="77777777" w:rsidR="00502226" w:rsidRDefault="00502226" w:rsidP="00B108D2">
      <w:pPr>
        <w:ind w:left="1416"/>
      </w:pPr>
      <w:r>
        <w:t></w:t>
      </w:r>
      <w:r>
        <w:tab/>
        <w:t>Type de contrat : CDI / CDD / freelance (ou équivalent)</w:t>
      </w:r>
    </w:p>
    <w:p w14:paraId="6F1E254C" w14:textId="77777777" w:rsidR="00502226" w:rsidRDefault="00502226" w:rsidP="00B108D2">
      <w:pPr>
        <w:ind w:left="1416"/>
      </w:pPr>
      <w:r>
        <w:t></w:t>
      </w:r>
      <w:r>
        <w:tab/>
        <w:t xml:space="preserve">Pays de résidence </w:t>
      </w:r>
    </w:p>
    <w:p w14:paraId="7289C047" w14:textId="5936DAFF" w:rsidR="00502226" w:rsidRDefault="00502226" w:rsidP="00B108D2">
      <w:pPr>
        <w:ind w:left="1416"/>
      </w:pPr>
      <w:bookmarkStart w:id="1" w:name="_Hlk208901819"/>
      <w:r>
        <w:t></w:t>
      </w:r>
      <w:bookmarkEnd w:id="1"/>
      <w:r>
        <w:tab/>
        <w:t xml:space="preserve">Répartition estimée (%) par catégorie) </w:t>
      </w:r>
    </w:p>
    <w:p w14:paraId="287C5ECD" w14:textId="464DA31B" w:rsidR="00B108D2" w:rsidRDefault="00B108D2" w:rsidP="00B108D2">
      <w:pPr>
        <w:ind w:left="1416"/>
      </w:pPr>
    </w:p>
    <w:p w14:paraId="7243ABC7" w14:textId="2921E296" w:rsidR="00B108D2" w:rsidRDefault="00B108D2" w:rsidP="00B108D2">
      <w:pPr>
        <w:ind w:left="1416"/>
      </w:pPr>
    </w:p>
    <w:p w14:paraId="13FE608C" w14:textId="77777777" w:rsidR="00B108D2" w:rsidRDefault="00B108D2" w:rsidP="00B108D2">
      <w:pPr>
        <w:ind w:left="1416"/>
      </w:pPr>
    </w:p>
    <w:p w14:paraId="29A264BF" w14:textId="57D8A7C8" w:rsidR="00502226" w:rsidRDefault="00502226" w:rsidP="00B108D2">
      <w:pPr>
        <w:pStyle w:val="Paragraphedeliste"/>
      </w:pPr>
    </w:p>
    <w:p w14:paraId="3F6B80BF" w14:textId="77777777" w:rsidR="006153FE" w:rsidRDefault="00502226" w:rsidP="00502226">
      <w:pPr>
        <w:pStyle w:val="Paragraphedeliste"/>
        <w:numPr>
          <w:ilvl w:val="0"/>
          <w:numId w:val="6"/>
        </w:numPr>
      </w:pPr>
      <w:bookmarkStart w:id="2" w:name="_Hlk210721182"/>
      <w:r w:rsidRPr="00FF18CB">
        <w:t>Gestion</w:t>
      </w:r>
      <w:r w:rsidR="00FF18CB" w:rsidRPr="00FF18CB">
        <w:t xml:space="preserve"> administrative et financière : </w:t>
      </w:r>
    </w:p>
    <w:p w14:paraId="13259041" w14:textId="77777777" w:rsidR="006153FE" w:rsidRDefault="006153FE" w:rsidP="006153FE">
      <w:pPr>
        <w:ind w:left="1416"/>
      </w:pPr>
      <w:r>
        <w:t xml:space="preserve"> </w:t>
      </w:r>
      <w:r>
        <w:tab/>
        <w:t>L</w:t>
      </w:r>
      <w:r w:rsidR="00FF18CB">
        <w:t>e candidat mettra-t-il à disposition d’INRAE un interlocuteur unique ?</w:t>
      </w:r>
    </w:p>
    <w:p w14:paraId="2649A13C" w14:textId="7D27338E" w:rsidR="006153FE" w:rsidRDefault="006153FE" w:rsidP="006153FE">
      <w:pPr>
        <w:ind w:left="2124" w:hanging="708"/>
      </w:pPr>
      <w:r>
        <w:t></w:t>
      </w:r>
      <w:r>
        <w:tab/>
        <w:t xml:space="preserve">Préciser le </w:t>
      </w:r>
      <w:r w:rsidRPr="006153FE">
        <w:t>Délai de mise en place du parcours suite à la demande</w:t>
      </w:r>
      <w:r>
        <w:t xml:space="preserve"> et la</w:t>
      </w:r>
      <w:r w:rsidRPr="006153FE">
        <w:t xml:space="preserve"> disponibilité des interlocuteurs</w:t>
      </w:r>
    </w:p>
    <w:p w14:paraId="63F1BE4D" w14:textId="2A37234D" w:rsidR="004212AA" w:rsidRPr="006153FE" w:rsidRDefault="004212AA" w:rsidP="006153FE">
      <w:pPr>
        <w:ind w:left="2124" w:hanging="708"/>
      </w:pPr>
      <w:r>
        <w:t></w:t>
      </w:r>
      <w:r>
        <w:tab/>
        <w:t>Quels sont les outils et modalités de reporting ?</w:t>
      </w:r>
    </w:p>
    <w:bookmarkEnd w:id="2"/>
    <w:p w14:paraId="693EB8EF" w14:textId="77777777" w:rsidR="006153FE" w:rsidRPr="00FF18CB" w:rsidRDefault="006153FE" w:rsidP="006153FE">
      <w:pPr>
        <w:ind w:left="1416"/>
      </w:pPr>
    </w:p>
    <w:p w14:paraId="6C4EB1BF" w14:textId="77777777" w:rsidR="00B108D2" w:rsidRDefault="00B108D2" w:rsidP="00B108D2">
      <w:pPr>
        <w:pStyle w:val="Paragraphedeliste"/>
      </w:pPr>
    </w:p>
    <w:p w14:paraId="2AD29945" w14:textId="77777777" w:rsidR="00B108D2" w:rsidRDefault="00B108D2" w:rsidP="00B108D2"/>
    <w:p w14:paraId="446C2835" w14:textId="77777777" w:rsidR="00B108D2" w:rsidRDefault="00B108D2" w:rsidP="00B108D2">
      <w:pPr>
        <w:pStyle w:val="Paragraphedeliste"/>
      </w:pPr>
    </w:p>
    <w:p w14:paraId="339A6046" w14:textId="77777777" w:rsidR="00B108D2" w:rsidRDefault="00B108D2" w:rsidP="00B108D2">
      <w:pPr>
        <w:pStyle w:val="Paragraphedeliste"/>
      </w:pPr>
    </w:p>
    <w:p w14:paraId="72E6F37F" w14:textId="11DB87F8" w:rsidR="00502226" w:rsidRDefault="00B108D2" w:rsidP="00502226">
      <w:pPr>
        <w:pStyle w:val="Paragraphedeliste"/>
        <w:numPr>
          <w:ilvl w:val="0"/>
          <w:numId w:val="6"/>
        </w:numPr>
      </w:pPr>
      <w:r>
        <w:t>Détailler la p</w:t>
      </w:r>
      <w:r w:rsidR="00502226">
        <w:t>olitique d’inclusion (genre, handicap, origine...). Fournir les labels, certifications, s’il y en a</w:t>
      </w:r>
    </w:p>
    <w:p w14:paraId="7BB27B37" w14:textId="092DE6AB" w:rsidR="00502226" w:rsidRDefault="00502226" w:rsidP="00502226">
      <w:pPr>
        <w:pStyle w:val="Paragraphedeliste"/>
      </w:pPr>
    </w:p>
    <w:p w14:paraId="40F6E0FF" w14:textId="5A227D4A" w:rsidR="00502226" w:rsidRDefault="00502226" w:rsidP="00502226">
      <w:pPr>
        <w:pStyle w:val="Paragraphedeliste"/>
      </w:pPr>
    </w:p>
    <w:p w14:paraId="782D53E0" w14:textId="7DF7A9F6" w:rsidR="00502226" w:rsidRDefault="00502226" w:rsidP="00502226">
      <w:pPr>
        <w:pStyle w:val="Paragraphedeliste"/>
      </w:pPr>
    </w:p>
    <w:p w14:paraId="214050A9" w14:textId="3B631479" w:rsidR="00502226" w:rsidRDefault="00502226" w:rsidP="00502226">
      <w:pPr>
        <w:pStyle w:val="Paragraphedeliste"/>
      </w:pPr>
    </w:p>
    <w:p w14:paraId="63153ED2" w14:textId="4117E876" w:rsidR="00502226" w:rsidRDefault="00502226" w:rsidP="00502226">
      <w:pPr>
        <w:pStyle w:val="Paragraphedeliste"/>
      </w:pPr>
    </w:p>
    <w:p w14:paraId="4D3DDF77" w14:textId="59B2C7F3" w:rsidR="00502226" w:rsidRDefault="00502226" w:rsidP="00502226">
      <w:pPr>
        <w:pStyle w:val="Paragraphedeliste"/>
      </w:pPr>
    </w:p>
    <w:p w14:paraId="3AAD8873" w14:textId="77777777" w:rsidR="00502226" w:rsidRDefault="00502226" w:rsidP="00502226">
      <w:pPr>
        <w:pStyle w:val="Paragraphedeliste"/>
      </w:pPr>
    </w:p>
    <w:p w14:paraId="211844C7" w14:textId="2F2A0F0E" w:rsidR="00502226" w:rsidRDefault="00502226" w:rsidP="00502226">
      <w:pPr>
        <w:pStyle w:val="Paragraphedeliste"/>
        <w:numPr>
          <w:ilvl w:val="0"/>
          <w:numId w:val="6"/>
        </w:numPr>
      </w:pPr>
      <w:r>
        <w:t>Accessibilité numérique : Détaillez les points ci-dessous :</w:t>
      </w:r>
    </w:p>
    <w:p w14:paraId="7B905CB5" w14:textId="77777777" w:rsidR="00502226" w:rsidRDefault="00502226" w:rsidP="00502226">
      <w:pPr>
        <w:pStyle w:val="Paragraphedeliste"/>
      </w:pPr>
    </w:p>
    <w:p w14:paraId="22B6EADA" w14:textId="1C3731CB" w:rsidR="00B108D2" w:rsidRDefault="00B108D2" w:rsidP="00B108D2">
      <w:pPr>
        <w:pStyle w:val="Paragraphedeliste"/>
        <w:numPr>
          <w:ilvl w:val="0"/>
          <w:numId w:val="7"/>
        </w:numPr>
        <w:ind w:left="1068"/>
      </w:pPr>
      <w:r>
        <w:t>Existe-t-il une</w:t>
      </w:r>
      <w:r w:rsidR="00502226">
        <w:t xml:space="preserve"> déclaration d’accessibilité structurée ou en cours de rédaction pour la plateforme de formation :</w:t>
      </w:r>
    </w:p>
    <w:p w14:paraId="0C7DEB07" w14:textId="285E6758" w:rsidR="00FF18CB" w:rsidRDefault="00FF18CB" w:rsidP="00FF18CB"/>
    <w:p w14:paraId="48AF5650" w14:textId="098F0F83" w:rsidR="00FF18CB" w:rsidRDefault="00FF18CB" w:rsidP="00FF18CB"/>
    <w:p w14:paraId="5052BCE7" w14:textId="1125B91F" w:rsidR="00FF18CB" w:rsidRDefault="00FF18CB" w:rsidP="00FF18CB"/>
    <w:p w14:paraId="6F3B8D83" w14:textId="77777777" w:rsidR="00FF18CB" w:rsidRDefault="00FF18CB" w:rsidP="00FF18CB"/>
    <w:p w14:paraId="71D66A10" w14:textId="77777777" w:rsidR="00502226" w:rsidRDefault="00502226" w:rsidP="00B108D2">
      <w:pPr>
        <w:ind w:left="348"/>
      </w:pPr>
    </w:p>
    <w:p w14:paraId="1A9BD54A" w14:textId="616997F6" w:rsidR="00193083" w:rsidRDefault="00B108D2" w:rsidP="00B108D2">
      <w:pPr>
        <w:pStyle w:val="Paragraphedeliste"/>
        <w:numPr>
          <w:ilvl w:val="0"/>
          <w:numId w:val="7"/>
        </w:numPr>
        <w:ind w:left="1068"/>
      </w:pPr>
      <w:r>
        <w:t xml:space="preserve">Détailler </w:t>
      </w:r>
      <w:r w:rsidR="00502226">
        <w:t>les dispositifs concrets mis en œuvre pour garantir l’accessibilité aux personnes en situation de handicap.</w:t>
      </w:r>
    </w:p>
    <w:sectPr w:rsidR="0019308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33F9" w14:textId="77777777" w:rsidR="00A25393" w:rsidRDefault="00A25393" w:rsidP="00A25393">
      <w:r>
        <w:separator/>
      </w:r>
    </w:p>
  </w:endnote>
  <w:endnote w:type="continuationSeparator" w:id="0">
    <w:p w14:paraId="5E9EA306" w14:textId="77777777" w:rsidR="00A25393" w:rsidRDefault="00A25393" w:rsidP="00A2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D866" w14:textId="5886251D" w:rsidR="00A25393" w:rsidRDefault="00502226" w:rsidP="00A97F0E">
    <w:pPr>
      <w:tabs>
        <w:tab w:val="left" w:pos="2865"/>
        <w:tab w:val="right" w:pos="9072"/>
      </w:tabs>
    </w:pPr>
    <w:r>
      <w:rPr>
        <w:b/>
        <w:bCs/>
      </w:rPr>
      <w:t>Formations en langues</w:t>
    </w:r>
    <w:r w:rsidR="00A97F0E">
      <w:rPr>
        <w:b/>
        <w:bCs/>
      </w:rPr>
      <w:tab/>
    </w:r>
    <w:r w:rsidR="00A25393">
      <w:rPr>
        <w:b/>
        <w:bCs/>
      </w:rPr>
      <w:fldChar w:fldCharType="begin"/>
    </w:r>
    <w:r w:rsidR="00A25393">
      <w:rPr>
        <w:b/>
        <w:bCs/>
      </w:rPr>
      <w:instrText>PAGE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4</w:t>
    </w:r>
    <w:r w:rsidR="00A25393">
      <w:rPr>
        <w:b/>
        <w:bCs/>
      </w:rPr>
      <w:fldChar w:fldCharType="end"/>
    </w:r>
    <w:r w:rsidR="00A25393">
      <w:t>/</w:t>
    </w:r>
    <w:r w:rsidR="00A25393">
      <w:rPr>
        <w:b/>
        <w:bCs/>
      </w:rPr>
      <w:fldChar w:fldCharType="begin"/>
    </w:r>
    <w:r w:rsidR="00A25393">
      <w:rPr>
        <w:b/>
        <w:bCs/>
      </w:rPr>
      <w:instrText>NUMPAGES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31</w:t>
    </w:r>
    <w:r w:rsidR="00A25393">
      <w:rPr>
        <w:b/>
        <w:bCs/>
      </w:rPr>
      <w:fldChar w:fldCharType="end"/>
    </w:r>
  </w:p>
  <w:p w14:paraId="636CBCB0" w14:textId="0A968B93" w:rsidR="00A25393" w:rsidRDefault="00A25393" w:rsidP="00A2539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0F84" w14:textId="77777777" w:rsidR="00A25393" w:rsidRDefault="00A25393" w:rsidP="00A25393">
      <w:r>
        <w:separator/>
      </w:r>
    </w:p>
  </w:footnote>
  <w:footnote w:type="continuationSeparator" w:id="0">
    <w:p w14:paraId="7912376A" w14:textId="77777777" w:rsidR="00A25393" w:rsidRDefault="00A25393" w:rsidP="00A25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5F19"/>
    <w:multiLevelType w:val="hybridMultilevel"/>
    <w:tmpl w:val="0284E7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A5BFC"/>
    <w:multiLevelType w:val="hybridMultilevel"/>
    <w:tmpl w:val="141000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60F0E"/>
    <w:multiLevelType w:val="hybridMultilevel"/>
    <w:tmpl w:val="5A3AB95E"/>
    <w:lvl w:ilvl="0" w:tplc="040C0005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2F9775C9"/>
    <w:multiLevelType w:val="hybridMultilevel"/>
    <w:tmpl w:val="DD70D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97B87"/>
    <w:multiLevelType w:val="hybridMultilevel"/>
    <w:tmpl w:val="63A2D2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1F29"/>
    <w:multiLevelType w:val="hybridMultilevel"/>
    <w:tmpl w:val="52B6A0E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95F25"/>
    <w:multiLevelType w:val="hybridMultilevel"/>
    <w:tmpl w:val="D3669974"/>
    <w:lvl w:ilvl="0" w:tplc="2E2A6B04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A416C"/>
    <w:multiLevelType w:val="hybridMultilevel"/>
    <w:tmpl w:val="C8202544"/>
    <w:lvl w:ilvl="0" w:tplc="01489B8A">
      <w:numFmt w:val="bullet"/>
      <w:lvlText w:val="-"/>
      <w:lvlJc w:val="left"/>
      <w:pPr>
        <w:ind w:left="1440" w:hanging="360"/>
      </w:pPr>
      <w:rPr>
        <w:rFonts w:ascii="AvenirNext LT Pro Cn" w:eastAsia="Times New Roman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EE049C"/>
    <w:multiLevelType w:val="hybridMultilevel"/>
    <w:tmpl w:val="051EAB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DF"/>
    <w:rsid w:val="000014F8"/>
    <w:rsid w:val="00193083"/>
    <w:rsid w:val="00252186"/>
    <w:rsid w:val="00285A41"/>
    <w:rsid w:val="00285BA0"/>
    <w:rsid w:val="002A6EF0"/>
    <w:rsid w:val="003223E8"/>
    <w:rsid w:val="004212AA"/>
    <w:rsid w:val="00502226"/>
    <w:rsid w:val="005433DF"/>
    <w:rsid w:val="00600C06"/>
    <w:rsid w:val="006153FE"/>
    <w:rsid w:val="00821B1B"/>
    <w:rsid w:val="00A25393"/>
    <w:rsid w:val="00A97F0E"/>
    <w:rsid w:val="00AC0CB9"/>
    <w:rsid w:val="00AE3259"/>
    <w:rsid w:val="00B108D2"/>
    <w:rsid w:val="00E40733"/>
    <w:rsid w:val="00E942E2"/>
    <w:rsid w:val="00EE5CEE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0DDACC"/>
  <w15:chartTrackingRefBased/>
  <w15:docId w15:val="{94CB3779-AC0F-4AB8-BD3B-990DB03A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D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unhideWhenUsed/>
    <w:rsid w:val="00543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433DF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433DF"/>
    <w:pPr>
      <w:spacing w:after="120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433DF"/>
    <w:rPr>
      <w:rFonts w:ascii="Arial" w:eastAsia="Times New Roman" w:hAnsi="Arial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5393"/>
  </w:style>
  <w:style w:type="paragraph" w:styleId="Pieddepage">
    <w:name w:val="footer"/>
    <w:basedOn w:val="Normal"/>
    <w:link w:val="Pieddepag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0919-EEC8-4781-8015-39160949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Laguillon</dc:creator>
  <cp:keywords/>
  <dc:description/>
  <cp:lastModifiedBy>Celine Laguillon</cp:lastModifiedBy>
  <cp:revision>17</cp:revision>
  <dcterms:created xsi:type="dcterms:W3CDTF">2024-11-25T09:31:00Z</dcterms:created>
  <dcterms:modified xsi:type="dcterms:W3CDTF">2025-10-10T09:19:00Z</dcterms:modified>
</cp:coreProperties>
</file>